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600" w:lineRule="exact"/>
        <w:ind w:firstLine="880"/>
        <w:jc w:val="center"/>
        <w:rPr>
          <w:rFonts w:ascii="Arial Unicode MS" w:cs="Arial Unicode MS" w:hAnsi="Arial Unicode MS" w:eastAsia="Arial Unicode MS"/>
          <w:outline w:val="0"/>
          <w:color w:val="000000"/>
          <w:kern w:val="0"/>
          <w:sz w:val="44"/>
          <w:szCs w:val="44"/>
          <w:u w:color="000000"/>
          <w14:textFill>
            <w14:solidFill>
              <w14:srgbClr w14:val="000000"/>
            </w14:solidFill>
          </w14:textFill>
        </w:rPr>
      </w:pPr>
      <w:r>
        <w:rPr>
          <w:rFonts w:eastAsia="Arial Unicode MS" w:hint="eastAsia"/>
          <w:outline w:val="0"/>
          <w:color w:val="000000"/>
          <w:kern w:val="0"/>
          <w:sz w:val="44"/>
          <w:szCs w:val="44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参</w:t>
      </w:r>
      <w:r>
        <w:rPr>
          <w:rFonts w:ascii="Arial Unicode MS" w:hAnsi="Arial Unicode MS"/>
          <w:outline w:val="0"/>
          <w:color w:val="000000"/>
          <w:kern w:val="0"/>
          <w:sz w:val="44"/>
          <w:szCs w:val="4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eastAsia="Arial Unicode MS" w:hint="eastAsia"/>
          <w:outline w:val="0"/>
          <w:color w:val="000000"/>
          <w:kern w:val="0"/>
          <w:sz w:val="44"/>
          <w:szCs w:val="44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会（展）须</w:t>
      </w:r>
      <w:r>
        <w:rPr>
          <w:rFonts w:ascii="Arial Unicode MS" w:hAnsi="Arial Unicode MS"/>
          <w:outline w:val="0"/>
          <w:color w:val="000000"/>
          <w:kern w:val="0"/>
          <w:sz w:val="44"/>
          <w:szCs w:val="4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eastAsia="Arial Unicode MS" w:hint="eastAsia"/>
          <w:outline w:val="0"/>
          <w:color w:val="000000"/>
          <w:kern w:val="0"/>
          <w:sz w:val="44"/>
          <w:szCs w:val="44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知</w:t>
      </w:r>
    </w:p>
    <w:p>
      <w:pPr>
        <w:pStyle w:val="Normal.0"/>
        <w:spacing w:line="600" w:lineRule="exact"/>
        <w:ind w:firstLine="880"/>
        <w:jc w:val="center"/>
        <w:rPr>
          <w:rFonts w:ascii="Arial Unicode MS" w:cs="Arial Unicode MS" w:hAnsi="Arial Unicode MS" w:eastAsia="Arial Unicode MS"/>
          <w:outline w:val="0"/>
          <w:color w:val="000000"/>
          <w:kern w:val="0"/>
          <w:sz w:val="44"/>
          <w:szCs w:val="4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numPr>
          <w:ilvl w:val="0"/>
          <w:numId w:val="2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b w:val="1"/>
          <w:bCs w:val="1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b w:val="1"/>
          <w:bCs w:val="1"/>
          <w:kern w:val="0"/>
          <w:sz w:val="32"/>
          <w:szCs w:val="32"/>
          <w:rtl w:val="0"/>
          <w:lang w:val="zh-TW" w:eastAsia="zh-TW"/>
        </w:rPr>
        <w:t>参展范围</w:t>
      </w:r>
    </w:p>
    <w:p>
      <w:pPr>
        <w:pStyle w:val="Normal.0"/>
        <w:tabs>
          <w:tab w:val="left" w:pos="1872"/>
        </w:tabs>
        <w:spacing w:line="578" w:lineRule="exact"/>
        <w:ind w:firstLine="538"/>
        <w:rPr>
          <w:rFonts w:ascii="仿宋_GB2312" w:cs="仿宋_GB2312" w:hAnsi="仿宋_GB2312" w:eastAsia="仿宋_GB2312"/>
          <w:kern w:val="0"/>
          <w:sz w:val="32"/>
          <w:szCs w:val="32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蓝色经济领域相关单位（企业、机构、科研院所、高校等）均可携海洋、渔业领域产品、产业及发展成果等参展，例如：</w:t>
      </w:r>
    </w:p>
    <w:p>
      <w:pPr>
        <w:pStyle w:val="Normal.0"/>
        <w:numPr>
          <w:ilvl w:val="0"/>
          <w:numId w:val="4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海洋高新科技、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工程装备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、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ja-JP" w:eastAsia="ja-JP"/>
          <w14:textFill>
            <w14:solidFill>
              <w14:srgbClr w14:val="000000"/>
            </w14:solidFill>
          </w14:textFill>
        </w:rPr>
        <w:t>项目及成果展示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：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智慧海洋信息科技应用、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海洋智慧管理信息系统及系统设计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软件编制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硬件选装、海洋观测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探测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监测设备、电子通信设备、海底光缆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海洋监测技术及海洋仪器制造业、海水淡化和海水直接利用技术、海洋能开发技术、海洋生物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医药等。</w:t>
      </w:r>
    </w:p>
    <w:p>
      <w:pPr>
        <w:pStyle w:val="Normal.0"/>
        <w:numPr>
          <w:ilvl w:val="0"/>
          <w:numId w:val="4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海洋渔业领域相关技术、设备、产品、项目、成果展示：海洋渔业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、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ja-JP" w:eastAsia="ja-JP"/>
          <w14:textFill>
            <w14:solidFill>
              <w14:srgbClr w14:val="000000"/>
            </w14:solidFill>
          </w14:textFill>
        </w:rPr>
        <w:t>休闲渔业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智慧渔业、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海洋牧场、海洋生态修复、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海洋捕捞、水产养殖、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ja-JP" w:eastAsia="ja-JP"/>
          <w14:textFill>
            <w14:solidFill>
              <w14:srgbClr w14:val="000000"/>
            </w14:solidFill>
          </w14:textFill>
        </w:rPr>
        <w:t>水产养殖技术与设备、冷链物流设备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渔业科技、渔业信息化、渔业现代装备和智能设施、海产品加工技术与设备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保鲜技术与冷链物流设备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区域特色水产品、渔业产销服务平台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ja-JP" w:eastAsia="ja-JP"/>
          <w14:textFill>
            <w14:solidFill>
              <w14:srgbClr w14:val="000000"/>
            </w14:solidFill>
          </w14:textFill>
        </w:rPr>
        <w:t>等现代渔业相关产业成果</w:t>
      </w:r>
      <w:r>
        <w:rPr>
          <w:rFonts w:ascii="仿宋_GB2312" w:cs="仿宋_GB2312" w:hAnsi="仿宋_GB2312" w:eastAsia="仿宋_GB2312"/>
          <w:outline w:val="0"/>
          <w:color w:val="000000"/>
          <w:sz w:val="32"/>
          <w:szCs w:val="32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。</w:t>
      </w:r>
    </w:p>
    <w:p>
      <w:pPr>
        <w:pStyle w:val="Normal.0"/>
        <w:numPr>
          <w:ilvl w:val="0"/>
          <w:numId w:val="4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港口航运、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船舶制造、航运物流、港航业的信息化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自动化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数字化转型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等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ja-JP" w:eastAsia="ja-JP"/>
        </w:rPr>
        <w:t>建设绿色港口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相关产业。</w:t>
      </w:r>
    </w:p>
    <w:p>
      <w:pPr>
        <w:pStyle w:val="Normal.0"/>
      </w:pPr>
      <w:r>
        <w:rPr>
          <w:rFonts w:ascii="仿宋_GB2312" w:cs="仿宋_GB2312" w:hAnsi="仿宋_GB2312" w:eastAsia="仿宋_GB2312"/>
          <w:sz w:val="32"/>
          <w:szCs w:val="32"/>
        </w:rPr>
        <w:br w:type="page"/>
      </w:r>
    </w:p>
    <w:p>
      <w:pPr>
        <w:pStyle w:val="Normal.0"/>
        <w:numPr>
          <w:ilvl w:val="0"/>
          <w:numId w:val="5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b w:val="1"/>
          <w:bCs w:val="1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b w:val="1"/>
          <w:bCs w:val="1"/>
          <w:kern w:val="0"/>
          <w:sz w:val="32"/>
          <w:szCs w:val="32"/>
          <w:rtl w:val="0"/>
          <w:lang w:val="zh-TW" w:eastAsia="zh-TW"/>
        </w:rPr>
        <w:t>参展费用</w:t>
      </w:r>
    </w:p>
    <w:p>
      <w:pPr>
        <w:pStyle w:val="Normal.0"/>
        <w:tabs>
          <w:tab w:val="left" w:pos="1872"/>
        </w:tabs>
        <w:spacing w:line="578" w:lineRule="exact"/>
        <w:ind w:firstLine="538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1800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元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/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㎡。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firstLine="538"/>
        <w:rPr>
          <w:rFonts w:ascii="仿宋_GB2312" w:cs="仿宋_GB2312" w:hAnsi="仿宋_GB2312" w:eastAsia="仿宋_GB2312"/>
          <w:kern w:val="0"/>
          <w:sz w:val="32"/>
          <w:szCs w:val="32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权益包括：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展位设计费；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特装展位管理费；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展位搭建费（提供展位搭建以及报馆服务，涉及特殊材质需增加搭建费用）；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展位用电（开展期间每日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8:30-17:00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，如需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24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小时供电，请自行前往展馆主场服务处申请并缴费）；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媒体宣传权益；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现场广告权益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会刊广告页；</w:t>
      </w:r>
    </w:p>
    <w:p>
      <w:pPr>
        <w:pStyle w:val="Normal.0"/>
        <w:numPr>
          <w:ilvl w:val="0"/>
          <w:numId w:val="7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税费。</w:t>
      </w:r>
    </w:p>
    <w:p>
      <w:pPr>
        <w:pStyle w:val="Normal.0"/>
        <w:tabs>
          <w:tab w:val="left" w:pos="1872"/>
        </w:tabs>
        <w:spacing w:line="578" w:lineRule="exact"/>
        <w:ind w:firstLine="538"/>
        <w:rPr>
          <w:rFonts w:ascii="仿宋_GB2312" w:cs="仿宋_GB2312" w:hAnsi="仿宋_GB2312" w:eastAsia="仿宋_GB2312"/>
          <w:kern w:val="0"/>
          <w:sz w:val="32"/>
          <w:szCs w:val="32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备注：展位场地费由海口市人民政府补贴，参展单位无须承担。</w:t>
      </w:r>
    </w:p>
    <w:p>
      <w:pPr>
        <w:pStyle w:val="Normal.0"/>
      </w:pPr>
      <w:r>
        <w:rPr>
          <w:rFonts w:ascii="仿宋_GB2312" w:cs="仿宋_GB2312" w:hAnsi="仿宋_GB2312" w:eastAsia="仿宋_GB2312"/>
          <w:kern w:val="0"/>
          <w:sz w:val="32"/>
          <w:szCs w:val="32"/>
        </w:rPr>
        <w:br w:type="page"/>
      </w:r>
    </w:p>
    <w:p>
      <w:pPr>
        <w:pStyle w:val="Normal.0"/>
        <w:numPr>
          <w:ilvl w:val="0"/>
          <w:numId w:val="8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b w:val="1"/>
          <w:bCs w:val="1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b w:val="1"/>
          <w:bCs w:val="1"/>
          <w:kern w:val="0"/>
          <w:sz w:val="32"/>
          <w:szCs w:val="32"/>
          <w:rtl w:val="0"/>
          <w:lang w:val="zh-TW" w:eastAsia="zh-TW"/>
        </w:rPr>
        <w:t>参展流程</w:t>
      </w:r>
    </w:p>
    <w:p>
      <w:pPr>
        <w:pStyle w:val="Normal.0"/>
        <w:tabs>
          <w:tab w:val="left" w:pos="1872"/>
        </w:tabs>
        <w:spacing w:line="578" w:lineRule="exact"/>
        <w:ind w:left="0" w:firstLine="64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（一）报名方法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numPr>
          <w:ilvl w:val="0"/>
          <w:numId w:val="10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请参展单位填写《参会（展）报名表》，于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8 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月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20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日前将参会（展）报名表盖章后扫描发送至组委会邮箱。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numPr>
          <w:ilvl w:val="0"/>
          <w:numId w:val="10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参展单位报名后需于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2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个工作日内缴纳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50%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的参展预定金。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numPr>
          <w:ilvl w:val="0"/>
          <w:numId w:val="10"/>
        </w:numPr>
        <w:bidi w:val="0"/>
        <w:spacing w:line="578" w:lineRule="exact"/>
        <w:ind w:right="72"/>
        <w:jc w:val="left"/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参展单位报名后需与大会执行单位签订参展协议，并于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8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月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25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日前缴纳全额参展费用。</w:t>
      </w:r>
    </w:p>
    <w:p>
      <w:pPr>
        <w:pStyle w:val="Normal.0"/>
        <w:tabs>
          <w:tab w:val="left" w:pos="1872"/>
        </w:tabs>
        <w:spacing w:line="578" w:lineRule="exact"/>
        <w:ind w:left="0" w:firstLine="64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（二）汇款方式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参展费用指定缴费账号如下：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开户名称：海南自由贸易试验区广锦文化会展服务有限责任公司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开户银行：中国工商银行股份有限公司海口南海大道支行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开户账号：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2201003309200069697 </w:t>
      </w:r>
    </w:p>
    <w:p>
      <w:pPr>
        <w:pStyle w:val="Normal.0"/>
        <w:tabs>
          <w:tab w:val="left" w:pos="1872"/>
        </w:tabs>
        <w:spacing w:line="578" w:lineRule="exact"/>
        <w:ind w:left="0" w:firstLine="64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（三）其他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请严格按照规定时间报名。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联系人：陈玉婷；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 xml:space="preserve">  </w:t>
      </w:r>
    </w:p>
    <w:p>
      <w:pPr>
        <w:pStyle w:val="Normal.0"/>
        <w:tabs>
          <w:tab w:val="left" w:pos="1872"/>
        </w:tabs>
        <w:spacing w:line="578" w:lineRule="exact"/>
        <w:ind w:left="0" w:firstLine="960"/>
        <w:rPr>
          <w:rFonts w:ascii="仿宋_GB2312" w:cs="仿宋_GB2312" w:hAnsi="仿宋_GB2312" w:eastAsia="仿宋_GB2312"/>
          <w:kern w:val="0"/>
          <w:sz w:val="32"/>
          <w:szCs w:val="32"/>
        </w:rPr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电话：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0898-68589563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；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180 7895 9706</w:t>
      </w:r>
    </w:p>
    <w:p>
      <w:pPr>
        <w:pStyle w:val="Normal.0"/>
        <w:tabs>
          <w:tab w:val="left" w:pos="1872"/>
        </w:tabs>
        <w:spacing w:line="578" w:lineRule="exact"/>
        <w:ind w:left="0" w:firstLine="960"/>
      </w:pP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zh-TW" w:eastAsia="zh-TW"/>
        </w:rPr>
        <w:t>邮箱：</w:t>
      </w:r>
      <w:r>
        <w:rPr>
          <w:rFonts w:ascii="仿宋_GB2312" w:cs="仿宋_GB2312" w:hAnsi="仿宋_GB2312" w:eastAsia="仿宋_GB2312"/>
          <w:kern w:val="0"/>
          <w:sz w:val="32"/>
          <w:szCs w:val="32"/>
          <w:rtl w:val="0"/>
          <w:lang w:val="en-US"/>
        </w:rPr>
        <w:t>hnbec2019@126.com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2240" w:h="15840" w:orient="portrait"/>
      <w:pgMar w:top="1417" w:right="1474" w:bottom="1417" w:left="1588" w:header="720" w:footer="578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宋体">
    <w:charset w:val="00"/>
    <w:family w:val="roman"/>
    <w:pitch w:val="default"/>
  </w:font>
  <w:font w:name="仿宋_GB2312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rFonts w:ascii="宋体" w:hAnsi="宋体"/>
        <w:sz w:val="28"/>
        <w:szCs w:val="28"/>
        <w:rtl w:val="0"/>
      </w:rPr>
      <w:fldChar w:fldCharType="begin" w:fldLock="0"/>
    </w:r>
    <w:r>
      <w:rPr>
        <w:rFonts w:ascii="宋体" w:hAnsi="宋体"/>
        <w:sz w:val="28"/>
        <w:szCs w:val="28"/>
        <w:rtl w:val="0"/>
      </w:rPr>
      <w:instrText xml:space="preserve"> PAGE </w:instrText>
    </w:r>
    <w:r>
      <w:rPr>
        <w:rFonts w:ascii="宋体" w:hAnsi="宋体"/>
        <w:sz w:val="28"/>
        <w:szCs w:val="28"/>
        <w:rtl w:val="0"/>
      </w:rPr>
      <w:fldChar w:fldCharType="separate" w:fldLock="0"/>
    </w:r>
    <w:r>
      <w:rPr>
        <w:rFonts w:ascii="宋体" w:hAnsi="宋体"/>
        <w:sz w:val="28"/>
        <w:szCs w:val="28"/>
        <w:rtl w:val="0"/>
      </w:rPr>
      <w:t>1</w:t>
    </w:r>
    <w:r>
      <w:rPr>
        <w:rFonts w:ascii="宋体" w:hAnsi="宋体"/>
        <w:sz w:val="28"/>
        <w:szCs w:val="28"/>
        <w:rtl w:val="0"/>
      </w:rPr>
      <w:fldChar w:fldCharType="end" w:fldLock="0"/>
    </w:r>
    <w:r>
      <w:rPr>
        <w:rFonts w:ascii="宋体" w:hAnsi="宋体"/>
        <w:sz w:val="28"/>
        <w:szCs w:val="28"/>
      </w:rPr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已导入的样式“1”"/>
  </w:abstractNum>
  <w:abstractNum w:abstractNumId="1">
    <w:multiLevelType w:val="hybridMultilevel"/>
    <w:styleLink w:val="已导入的样式“1”"/>
    <w:lvl w:ilvl="0">
      <w:start w:val="1"/>
      <w:numFmt w:val="chineseCounting"/>
      <w:suff w:val="nothing"/>
      <w:lvlText w:val="%1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chineseCounting"/>
      <w:suff w:val="nothing"/>
      <w:lvlText w:val="%2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chineseCounting"/>
      <w:suff w:val="nothing"/>
      <w:lvlText w:val="%3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chineseCounting"/>
      <w:suff w:val="nothing"/>
      <w:lvlText w:val="%4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chineseCounting"/>
      <w:suff w:val="nothing"/>
      <w:lvlText w:val="%5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chineseCounting"/>
      <w:suff w:val="nothing"/>
      <w:lvlText w:val="%6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chineseCounting"/>
      <w:suff w:val="nothing"/>
      <w:lvlText w:val="%7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chineseCounting"/>
      <w:suff w:val="nothing"/>
      <w:lvlText w:val="%8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chineseCounting"/>
      <w:suff w:val="nothing"/>
      <w:lvlText w:val="%9."/>
      <w:lvlJc w:val="left"/>
      <w:pPr>
        <w:tabs>
          <w:tab w:val="left" w:pos="1872"/>
        </w:tabs>
        <w:ind w:left="192" w:firstLine="22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已导入的样式“2”"/>
  </w:abstractNum>
  <w:abstractNum w:abstractNumId="3">
    <w:multiLevelType w:val="hybridMultilevel"/>
    <w:styleLink w:val="已导入的样式“2”"/>
    <w:lvl w:ilvl="0">
      <w:start w:val="1"/>
      <w:numFmt w:val="chineseCounting"/>
      <w:suff w:val="nothing"/>
      <w:lvlText w:val="%1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chineseCounting"/>
      <w:suff w:val="nothing"/>
      <w:lvlText w:val="%2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chineseCounting"/>
      <w:suff w:val="nothing"/>
      <w:lvlText w:val="%3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chineseCounting"/>
      <w:suff w:val="nothing"/>
      <w:lvlText w:val="%4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chineseCounting"/>
      <w:suff w:val="nothing"/>
      <w:lvlText w:val="%5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chineseCounting"/>
      <w:suff w:val="nothing"/>
      <w:lvlText w:val="%6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chineseCounting"/>
      <w:suff w:val="nothing"/>
      <w:lvlText w:val="%7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chineseCounting"/>
      <w:suff w:val="nothing"/>
      <w:lvlText w:val="%8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chineseCounting"/>
      <w:suff w:val="nothing"/>
      <w:lvlText w:val="%9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已导入的样式“3”"/>
  </w:abstractNum>
  <w:abstractNum w:abstractNumId="5">
    <w:multiLevelType w:val="hybridMultilevel"/>
    <w:styleLink w:val="已导入的样式“3”"/>
    <w:lvl w:ilvl="0">
      <w:start w:val="1"/>
      <w:numFmt w:val="chineseCounting"/>
      <w:suff w:val="nothing"/>
      <w:lvlText w:val="%1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chineseCounting"/>
      <w:suff w:val="nothing"/>
      <w:lvlText w:val="%2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chineseCounting"/>
      <w:suff w:val="nothing"/>
      <w:lvlText w:val="%3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chineseCounting"/>
      <w:suff w:val="nothing"/>
      <w:lvlText w:val="%4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chineseCounting"/>
      <w:suff w:val="nothing"/>
      <w:lvlText w:val="%5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chineseCounting"/>
      <w:suff w:val="nothing"/>
      <w:lvlText w:val="%6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chineseCounting"/>
      <w:suff w:val="nothing"/>
      <w:lvlText w:val="%7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chineseCounting"/>
      <w:suff w:val="nothing"/>
      <w:lvlText w:val="%8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chineseCounting"/>
      <w:suff w:val="nothing"/>
      <w:lvlText w:val="%9."/>
      <w:lvlJc w:val="left"/>
      <w:pPr>
        <w:tabs>
          <w:tab w:val="left" w:pos="1872"/>
        </w:tabs>
        <w:ind w:left="192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已导入的样式“4”"/>
  </w:abstractNum>
  <w:abstractNum w:abstractNumId="7">
    <w:multiLevelType w:val="hybridMultilevel"/>
    <w:styleLink w:val="已导入的样式“4”"/>
    <w:lvl w:ilvl="0">
      <w:start w:val="1"/>
      <w:numFmt w:val="decimal"/>
      <w:suff w:val="nothing"/>
      <w:lvlText w:val="%1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6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9."/>
      <w:lvlJc w:val="left"/>
      <w:pPr>
        <w:tabs>
          <w:tab w:val="left" w:pos="1872"/>
        </w:tabs>
        <w:ind w:left="192" w:firstLine="4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2"/>
    </w:lvlOverride>
  </w:num>
  <w:num w:numId="6">
    <w:abstractNumId w:val="5"/>
  </w:num>
  <w:num w:numId="7">
    <w:abstractNumId w:val="4"/>
  </w:num>
  <w:num w:numId="8">
    <w:abstractNumId w:val="0"/>
    <w:lvlOverride w:ilvl="0">
      <w:startOverride w:val="3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" w:right="72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2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72" w:right="72" w:firstLine="0"/>
      <w:jc w:val="left"/>
      <w:outlineLvl w:val="9"/>
    </w:pPr>
    <w:rPr>
      <w:rFonts w:ascii="Arial Unicode MS" w:cs="Arial Unicode MS" w:hAnsi="Arial Unicode MS" w:eastAsia="Calibri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2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numbering" w:styleId="已导入的样式“1”">
    <w:name w:val="已导入的样式“1”"/>
    <w:pPr>
      <w:numPr>
        <w:numId w:val="1"/>
      </w:numPr>
    </w:pPr>
  </w:style>
  <w:style w:type="numbering" w:styleId="已导入的样式“2”">
    <w:name w:val="已导入的样式“2”"/>
    <w:pPr>
      <w:numPr>
        <w:numId w:val="3"/>
      </w:numPr>
    </w:pPr>
  </w:style>
  <w:style w:type="numbering" w:styleId="已导入的样式“3”">
    <w:name w:val="已导入的样式“3”"/>
    <w:pPr>
      <w:numPr>
        <w:numId w:val="6"/>
      </w:numPr>
    </w:pPr>
  </w:style>
  <w:style w:type="numbering" w:styleId="已导入的样式“4”">
    <w:name w:val="已导入的样式“4”"/>
    <w:pPr>
      <w:numPr>
        <w:numId w:val="9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